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D9080">
      <w:pPr>
        <w:jc w:val="center"/>
        <w:rPr>
          <w:rFonts w:hint="eastAsia" w:ascii="黑体" w:hAnsi="黑体" w:eastAsia="黑体"/>
          <w:sz w:val="44"/>
          <w:szCs w:val="44"/>
        </w:rPr>
      </w:pPr>
      <w:bookmarkStart w:id="0" w:name="_GoBack"/>
      <w:bookmarkEnd w:id="0"/>
      <w:r>
        <w:rPr>
          <w:rFonts w:hint="eastAsia" w:ascii="黑体" w:hAnsi="黑体" w:eastAsia="黑体"/>
          <w:sz w:val="44"/>
          <w:szCs w:val="44"/>
        </w:rPr>
        <w:t>我校与马来西亚精英大学就合作申请中外合作办学新项目签署财务协议情况简介</w:t>
      </w:r>
    </w:p>
    <w:p w14:paraId="3A12945A">
      <w:pPr>
        <w:spacing w:after="0" w:line="360" w:lineRule="auto"/>
        <w:ind w:firstLine="640" w:firstLineChars="200"/>
        <w:jc w:val="both"/>
        <w:rPr>
          <w:rFonts w:ascii="仿宋" w:hAnsi="仿宋" w:eastAsia="仿宋"/>
          <w:sz w:val="32"/>
          <w:szCs w:val="32"/>
        </w:rPr>
      </w:pPr>
    </w:p>
    <w:p w14:paraId="69D4E987">
      <w:pPr>
        <w:spacing w:after="0" w:line="360" w:lineRule="auto"/>
        <w:ind w:firstLine="640" w:firstLineChars="200"/>
        <w:jc w:val="both"/>
        <w:rPr>
          <w:rFonts w:ascii="黑体" w:hAnsi="黑体" w:eastAsia="黑体"/>
          <w:sz w:val="32"/>
          <w:szCs w:val="32"/>
        </w:rPr>
      </w:pPr>
      <w:r>
        <w:rPr>
          <w:rFonts w:hint="eastAsia" w:ascii="黑体" w:hAnsi="黑体" w:eastAsia="黑体"/>
          <w:sz w:val="32"/>
          <w:szCs w:val="32"/>
        </w:rPr>
        <w:t>一、财务协议核心条款情况</w:t>
      </w:r>
    </w:p>
    <w:p w14:paraId="29AED385">
      <w:pPr>
        <w:spacing w:after="0" w:line="360" w:lineRule="auto"/>
        <w:ind w:firstLine="640" w:firstLineChars="200"/>
        <w:jc w:val="both"/>
        <w:rPr>
          <w:rFonts w:ascii="仿宋" w:hAnsi="仿宋" w:eastAsia="仿宋"/>
          <w:sz w:val="32"/>
          <w:szCs w:val="32"/>
        </w:rPr>
      </w:pPr>
      <w:r>
        <w:rPr>
          <w:rFonts w:hint="eastAsia" w:ascii="仿宋" w:hAnsi="仿宋" w:eastAsia="仿宋"/>
          <w:sz w:val="32"/>
          <w:szCs w:val="32"/>
        </w:rPr>
        <w:t>结合目前国内院校普遍操作办法，本项目通过境内国际教育代理机构（以下简称“三方机构”）与马方院校对接合作，因此财务协议计划与马来西亚精英大学（以下简称“精英大学”）及三方机构签署，当前签署要点如下：</w:t>
      </w:r>
    </w:p>
    <w:p w14:paraId="5000628C">
      <w:pPr>
        <w:spacing w:after="0" w:line="360" w:lineRule="auto"/>
        <w:ind w:firstLine="640" w:firstLineChars="200"/>
        <w:jc w:val="both"/>
        <w:rPr>
          <w:rFonts w:ascii="仿宋" w:hAnsi="仿宋" w:eastAsia="仿宋"/>
          <w:sz w:val="32"/>
          <w:szCs w:val="32"/>
        </w:rPr>
      </w:pPr>
      <w:r>
        <w:rPr>
          <w:rFonts w:hint="eastAsia" w:ascii="仿宋" w:hAnsi="仿宋" w:eastAsia="仿宋"/>
          <w:sz w:val="32"/>
          <w:szCs w:val="32"/>
        </w:rPr>
        <w:t>1.为使合作付款符合教育部最新“三十八条”中第三十六条相关要求，协议分别与精英大学及三方机构签署。</w:t>
      </w:r>
    </w:p>
    <w:p w14:paraId="554D7EFD">
      <w:pPr>
        <w:spacing w:after="0" w:line="360" w:lineRule="auto"/>
        <w:ind w:firstLine="640" w:firstLineChars="200"/>
        <w:jc w:val="both"/>
        <w:rPr>
          <w:rFonts w:ascii="仿宋" w:hAnsi="仿宋" w:eastAsia="仿宋"/>
          <w:sz w:val="32"/>
          <w:szCs w:val="32"/>
        </w:rPr>
      </w:pPr>
      <w:r>
        <w:rPr>
          <w:rFonts w:hint="eastAsia" w:ascii="仿宋" w:hAnsi="仿宋" w:eastAsia="仿宋"/>
          <w:sz w:val="32"/>
          <w:szCs w:val="32"/>
        </w:rPr>
        <w:t>2.与精英大学签署的为母协议，其中明确授权三方机构为本项目的唯一合作机构；与三方机构签署的为子协议，其中明确其为项目境内管理实施的执行方；通过上述方式使付款方式符合教育部相关规定的同时，为未来合规付款提供依据及保障。</w:t>
      </w:r>
    </w:p>
    <w:p w14:paraId="521251BF">
      <w:pPr>
        <w:spacing w:after="0" w:line="360" w:lineRule="auto"/>
        <w:ind w:firstLine="640" w:firstLineChars="200"/>
        <w:jc w:val="both"/>
        <w:rPr>
          <w:rFonts w:hint="eastAsia" w:ascii="仿宋" w:hAnsi="仿宋" w:eastAsia="仿宋"/>
          <w:sz w:val="32"/>
          <w:szCs w:val="32"/>
        </w:rPr>
      </w:pPr>
      <w:r>
        <w:rPr>
          <w:rFonts w:hint="eastAsia" w:ascii="仿宋" w:hAnsi="仿宋" w:eastAsia="仿宋"/>
          <w:sz w:val="32"/>
          <w:szCs w:val="32"/>
        </w:rPr>
        <w:t>3.项目收益外方院校收取30%，境内三方机构收取不高于20%。</w:t>
      </w:r>
    </w:p>
    <w:p w14:paraId="1876DB04">
      <w:pPr>
        <w:spacing w:after="0" w:line="360" w:lineRule="auto"/>
        <w:ind w:firstLine="640" w:firstLineChars="200"/>
        <w:jc w:val="both"/>
        <w:rPr>
          <w:rFonts w:hint="eastAsia" w:ascii="黑体" w:hAnsi="黑体" w:eastAsia="黑体"/>
          <w:sz w:val="32"/>
          <w:szCs w:val="32"/>
        </w:rPr>
      </w:pPr>
      <w:r>
        <w:rPr>
          <w:rFonts w:hint="eastAsia" w:ascii="黑体" w:hAnsi="黑体" w:eastAsia="黑体"/>
          <w:sz w:val="32"/>
          <w:szCs w:val="32"/>
        </w:rPr>
        <w:t>二、我校法律顾问建议</w:t>
      </w:r>
    </w:p>
    <w:p w14:paraId="12951B84">
      <w:pPr>
        <w:spacing w:after="0" w:line="360" w:lineRule="auto"/>
        <w:ind w:firstLine="640" w:firstLineChars="200"/>
        <w:jc w:val="both"/>
        <w:rPr>
          <w:rFonts w:hint="eastAsia" w:ascii="仿宋" w:hAnsi="仿宋" w:eastAsia="仿宋"/>
          <w:sz w:val="32"/>
          <w:szCs w:val="32"/>
        </w:rPr>
      </w:pPr>
      <w:r>
        <w:rPr>
          <w:rFonts w:hint="eastAsia" w:ascii="仿宋" w:hAnsi="仿宋" w:eastAsia="仿宋"/>
          <w:sz w:val="32"/>
          <w:szCs w:val="32"/>
        </w:rPr>
        <w:t>1.两份协议从整体上看不存在法律条款缺项。</w:t>
      </w:r>
    </w:p>
    <w:p w14:paraId="39391135">
      <w:pPr>
        <w:spacing w:after="0" w:line="360" w:lineRule="auto"/>
        <w:ind w:firstLine="640" w:firstLineChars="200"/>
        <w:jc w:val="both"/>
        <w:rPr>
          <w:rFonts w:hint="eastAsia" w:ascii="仿宋" w:hAnsi="仿宋" w:eastAsia="仿宋"/>
          <w:sz w:val="32"/>
          <w:szCs w:val="32"/>
        </w:rPr>
      </w:pPr>
      <w:r>
        <w:rPr>
          <w:rFonts w:hint="eastAsia" w:ascii="仿宋" w:hAnsi="仿宋" w:eastAsia="仿宋"/>
          <w:sz w:val="32"/>
          <w:szCs w:val="32"/>
        </w:rPr>
        <w:t>2.关于协议具体条款内容：建议签订前学校先审查一遍具体条款，如果学校认可协议条款内容，可以签订。</w:t>
      </w:r>
    </w:p>
    <w:p w14:paraId="45EFA561">
      <w:pPr>
        <w:spacing w:after="0" w:line="360" w:lineRule="auto"/>
        <w:ind w:firstLine="640" w:firstLineChars="200"/>
        <w:jc w:val="both"/>
        <w:rPr>
          <w:rFonts w:ascii="仿宋" w:hAnsi="仿宋" w:eastAsia="仿宋"/>
          <w:sz w:val="32"/>
          <w:szCs w:val="32"/>
        </w:rPr>
      </w:pPr>
      <w:r>
        <w:rPr>
          <w:rFonts w:hint="eastAsia" w:ascii="仿宋" w:hAnsi="仿宋" w:eastAsia="仿宋"/>
          <w:sz w:val="32"/>
          <w:szCs w:val="32"/>
        </w:rPr>
        <w:t>3.关于学校收款及向对方支付款项是否合理的问题：建议学校按照省里的财务制度，对应衡量。如果省财政允许，条款有效。</w:t>
      </w:r>
    </w:p>
    <w:p w14:paraId="3A2B864F">
      <w:pPr>
        <w:spacing w:after="0" w:line="360" w:lineRule="auto"/>
        <w:jc w:val="both"/>
        <w:rPr>
          <w:rFonts w:hint="eastAsia" w:ascii="仿宋" w:hAnsi="仿宋" w:eastAsia="仿宋"/>
          <w:sz w:val="32"/>
          <w:szCs w:val="32"/>
        </w:rPr>
      </w:pPr>
    </w:p>
    <w:p w14:paraId="70DE6EE6">
      <w:pPr>
        <w:wordWrap w:val="0"/>
        <w:spacing w:after="0" w:line="360" w:lineRule="auto"/>
        <w:ind w:firstLine="640" w:firstLineChars="200"/>
        <w:jc w:val="right"/>
        <w:rPr>
          <w:rFonts w:hint="default" w:ascii="仿宋" w:hAnsi="仿宋" w:eastAsia="仿宋"/>
          <w:sz w:val="32"/>
          <w:szCs w:val="32"/>
          <w:lang w:val="en-US" w:eastAsia="zh-CN"/>
        </w:rPr>
      </w:pPr>
      <w:r>
        <w:rPr>
          <w:rFonts w:hint="eastAsia" w:ascii="仿宋" w:hAnsi="仿宋" w:eastAsia="仿宋"/>
          <w:sz w:val="32"/>
          <w:szCs w:val="32"/>
        </w:rPr>
        <w:t>国际合作与交流中心</w:t>
      </w:r>
      <w:r>
        <w:rPr>
          <w:rFonts w:hint="eastAsia" w:ascii="仿宋" w:hAnsi="仿宋" w:eastAsia="仿宋"/>
          <w:sz w:val="32"/>
          <w:szCs w:val="32"/>
          <w:lang w:val="en-US" w:eastAsia="zh-CN"/>
        </w:rPr>
        <w:t xml:space="preserve">        </w:t>
      </w:r>
    </w:p>
    <w:p w14:paraId="732C12C6">
      <w:pPr>
        <w:wordWrap w:val="0"/>
        <w:spacing w:after="0" w:line="360" w:lineRule="auto"/>
        <w:ind w:firstLine="640" w:firstLineChars="200"/>
        <w:jc w:val="right"/>
        <w:rPr>
          <w:rFonts w:hint="default" w:ascii="仿宋" w:hAnsi="仿宋" w:eastAsia="仿宋"/>
          <w:sz w:val="32"/>
          <w:szCs w:val="32"/>
          <w:lang w:val="en-US" w:eastAsia="zh-CN"/>
        </w:rPr>
      </w:pPr>
      <w:r>
        <w:rPr>
          <w:rFonts w:hint="eastAsia" w:ascii="仿宋" w:hAnsi="仿宋" w:eastAsia="仿宋"/>
          <w:sz w:val="32"/>
          <w:szCs w:val="32"/>
        </w:rPr>
        <w:t>2026年1月17日</w:t>
      </w:r>
      <w:r>
        <w:rPr>
          <w:rFonts w:hint="eastAsia" w:ascii="仿宋" w:hAnsi="仿宋" w:eastAsia="仿宋"/>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94B"/>
    <w:rsid w:val="00357433"/>
    <w:rsid w:val="003674A4"/>
    <w:rsid w:val="005240B2"/>
    <w:rsid w:val="007A176C"/>
    <w:rsid w:val="0093294B"/>
    <w:rsid w:val="00BD6A6F"/>
    <w:rsid w:val="00F31B61"/>
    <w:rsid w:val="00FD1FF2"/>
    <w:rsid w:val="14861BFC"/>
    <w:rsid w:val="1CD13817"/>
    <w:rsid w:val="70E30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0"/>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1"/>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5"/>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semiHidden/>
    <w:qFormat/>
    <w:uiPriority w:val="9"/>
    <w:rPr>
      <w:rFonts w:cstheme="majorBidi"/>
      <w:color w:val="104862" w:themeColor="accent1" w:themeShade="BF"/>
      <w:sz w:val="28"/>
      <w:szCs w:val="28"/>
    </w:rPr>
  </w:style>
  <w:style w:type="character" w:customStyle="1" w:styleId="19">
    <w:name w:val="标题 5 字符"/>
    <w:basedOn w:val="14"/>
    <w:link w:val="6"/>
    <w:semiHidden/>
    <w:qFormat/>
    <w:uiPriority w:val="9"/>
    <w:rPr>
      <w:rFonts w:cstheme="majorBidi"/>
      <w:color w:val="104862" w:themeColor="accent1" w:themeShade="BF"/>
      <w:sz w:val="24"/>
    </w:rPr>
  </w:style>
  <w:style w:type="character" w:customStyle="1" w:styleId="20">
    <w:name w:val="标题 6 字符"/>
    <w:basedOn w:val="14"/>
    <w:link w:val="7"/>
    <w:semiHidden/>
    <w:qFormat/>
    <w:uiPriority w:val="9"/>
    <w:rPr>
      <w:rFonts w:cstheme="majorBidi"/>
      <w:b/>
      <w:bCs/>
      <w:color w:val="104862"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1">
    <w:name w:val="明显引用 字符"/>
    <w:basedOn w:val="14"/>
    <w:link w:val="30"/>
    <w:qFormat/>
    <w:uiPriority w:val="30"/>
    <w:rPr>
      <w:i/>
      <w:iCs/>
      <w:color w:val="104862" w:themeColor="accent1" w:themeShade="BF"/>
    </w:rPr>
  </w:style>
  <w:style w:type="character" w:customStyle="1" w:styleId="32">
    <w:name w:val="Intense Reference"/>
    <w:basedOn w:val="14"/>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f25f1cd1-2f1a-42f4-8f28-297619480ad6</errorID>
      <errorWord>及</errorWord>
      <group>L1_Word</group>
      <groupName>字词问题</groupName>
      <ability>L2_Typo</ability>
      <abilityName>字词错误</abilityName>
      <candidateList>
        <item>及第</item>
      </candidateList>
      <explain/>
      <paraID>5000628C</paraID>
      <start>41</start>
      <end>42</end>
      <status>unmodified</status>
      <modifiedWord/>
      <trackRevisions>false</trackRevisions>
    </reviewItem>
  </reviewItems>
  <config/>
</contractReview>
</file>

<file path=customXml/itemProps1.xml><?xml version="1.0" encoding="utf-8"?>
<ds:datastoreItem xmlns:ds="http://schemas.openxmlformats.org/officeDocument/2006/customXml" ds:itemID="{e9c2c387-7476-4c0b-801f-34037449410b}">
  <ds:schemaRefs/>
</ds:datastoreItem>
</file>

<file path=docProps/app.xml><?xml version="1.0" encoding="utf-8"?>
<Properties xmlns="http://schemas.openxmlformats.org/officeDocument/2006/extended-properties" xmlns:vt="http://schemas.openxmlformats.org/officeDocument/2006/docPropsVTypes">
  <Template>Normal</Template>
  <Pages>2</Pages>
  <Words>476</Words>
  <Characters>490</Characters>
  <Lines>43</Lines>
  <Paragraphs>63</Paragraphs>
  <TotalTime>0</TotalTime>
  <ScaleCrop>false</ScaleCrop>
  <LinksUpToDate>false</LinksUpToDate>
  <CharactersWithSpaces>508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2026-01-17T02:30:00Z</dcterms:created>
  <dc:creator>chenxi li</dc:creator>
  <cp:lastModifiedBy>国际合作与交流中心</cp:lastModifiedBy>
  <dcterms:modified xsi:type="dcterms:W3CDTF">2026-01-17T03:51:26Z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eyJoZGlkIjoiMTgxNTkxOTExMTJkZjE3ZmNkYjUyZWFhYjMxOTJjYTkiLCJ1c2VySWQiOiIyOTk5NTU0NzMifQ==</vt:lpwstr>
  </property>
  <property fmtid="{D5CDD505-2E9C-101B-9397-08002B2CF9AE}" pid="3" name="KSOProductBuildVer">
    <vt:lpwstr>2052-12.1.0.24034</vt:lpwstr>
  </property>
  <property fmtid="{D5CDD505-2E9C-101B-9397-08002B2CF9AE}" pid="4" name="ICV">
    <vt:lpwstr>0C323DC2FBD64EDF973A5AD916E36A92_12</vt:lpwstr>
  </property>
</Properties>
</file>